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8B16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55668B19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14:paraId="55668B1C" w14:textId="77777777" w:rsidTr="00E97024">
        <w:tc>
          <w:tcPr>
            <w:tcW w:w="3715" w:type="dxa"/>
          </w:tcPr>
          <w:p w14:paraId="55668B1A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67297573" w14:textId="0D871DF8" w:rsidR="00B87695" w:rsidRDefault="006B2193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Allocation of</w:t>
            </w:r>
            <w:r w:rsidR="0046170E" w:rsidRPr="0046170E">
              <w:rPr>
                <w:rFonts w:ascii="Arial" w:hAnsi="Arial" w:cs="Arial"/>
              </w:rPr>
              <w:t xml:space="preserve"> the approved budget and </w:t>
            </w:r>
            <w:proofErr w:type="gramStart"/>
            <w:r w:rsidR="0046170E" w:rsidRPr="0046170E">
              <w:rPr>
                <w:rFonts w:ascii="Arial" w:hAnsi="Arial" w:cs="Arial"/>
              </w:rPr>
              <w:t>enter</w:t>
            </w:r>
            <w:r>
              <w:rPr>
                <w:rFonts w:ascii="Arial" w:hAnsi="Arial" w:cs="Arial"/>
              </w:rPr>
              <w:t>ing</w:t>
            </w:r>
            <w:r w:rsidR="0046170E" w:rsidRPr="0046170E">
              <w:rPr>
                <w:rFonts w:ascii="Arial" w:hAnsi="Arial" w:cs="Arial"/>
              </w:rPr>
              <w:t xml:space="preserve"> into</w:t>
            </w:r>
            <w:proofErr w:type="gramEnd"/>
            <w:r w:rsidR="0046170E" w:rsidRPr="0046170E">
              <w:rPr>
                <w:rFonts w:ascii="Arial" w:hAnsi="Arial" w:cs="Arial"/>
              </w:rPr>
              <w:t xml:space="preserve"> contract with </w:t>
            </w:r>
            <w:r w:rsidR="0046170E">
              <w:rPr>
                <w:rFonts w:ascii="Arial" w:hAnsi="Arial" w:cs="Arial"/>
              </w:rPr>
              <w:t>Asylum Welcome</w:t>
            </w:r>
            <w:r w:rsidR="0046170E" w:rsidRPr="0046170E">
              <w:rPr>
                <w:rFonts w:ascii="Arial" w:hAnsi="Arial" w:cs="Arial"/>
              </w:rPr>
              <w:t xml:space="preserve"> for the provision of person-centred support</w:t>
            </w:r>
            <w:r w:rsidR="0046170E">
              <w:rPr>
                <w:rFonts w:ascii="Arial" w:hAnsi="Arial" w:cs="Arial"/>
              </w:rPr>
              <w:t xml:space="preserve"> for refugees who have been resettled via the government funded Resettlement Schemes</w:t>
            </w:r>
          </w:p>
          <w:p w14:paraId="55668B1B" w14:textId="19979485" w:rsidR="006B2193" w:rsidRPr="00A96C08" w:rsidRDefault="006B2193" w:rsidP="00960744">
            <w:pPr>
              <w:rPr>
                <w:rFonts w:ascii="Arial" w:hAnsi="Arial" w:cs="Arial"/>
              </w:rPr>
            </w:pPr>
          </w:p>
        </w:tc>
      </w:tr>
      <w:tr w:rsidR="006F6326" w14:paraId="55668B1F" w14:textId="77777777" w:rsidTr="00E97024">
        <w:tc>
          <w:tcPr>
            <w:tcW w:w="3715" w:type="dxa"/>
          </w:tcPr>
          <w:p w14:paraId="55668B1D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14:paraId="55668B1E" w14:textId="3A3F056D" w:rsidR="00263039" w:rsidRPr="00A96C08" w:rsidRDefault="0047463D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November</w:t>
            </w:r>
            <w:r w:rsidR="0046170E">
              <w:rPr>
                <w:rFonts w:ascii="Arial" w:hAnsi="Arial" w:cs="Arial"/>
              </w:rPr>
              <w:t xml:space="preserve"> 2023</w:t>
            </w:r>
          </w:p>
        </w:tc>
      </w:tr>
      <w:tr w:rsidR="00854133" w14:paraId="55668B22" w14:textId="77777777" w:rsidTr="00E97024">
        <w:tc>
          <w:tcPr>
            <w:tcW w:w="3715" w:type="dxa"/>
          </w:tcPr>
          <w:p w14:paraId="55668B20" w14:textId="139578B5"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Source of delegation: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14:paraId="6F7CC9B0" w14:textId="3EB03CCA" w:rsidR="0046170E" w:rsidRDefault="0046170E" w:rsidP="00E97024">
            <w:pPr>
              <w:rPr>
                <w:rFonts w:ascii="Arial" w:hAnsi="Arial" w:cs="Arial"/>
              </w:rPr>
            </w:pPr>
            <w:bookmarkStart w:id="0" w:name="_Hlk150925770"/>
            <w:r>
              <w:rPr>
                <w:rFonts w:ascii="Arial" w:hAnsi="Arial" w:cs="Arial"/>
              </w:rPr>
              <w:t xml:space="preserve">Cabinet on </w:t>
            </w:r>
            <w:hyperlink r:id="rId8" w:history="1">
              <w:r w:rsidRPr="006B2193">
                <w:rPr>
                  <w:rStyle w:val="Hyperlink"/>
                  <w:rFonts w:ascii="Arial" w:hAnsi="Arial" w:cs="Arial"/>
                </w:rPr>
                <w:t>12 July 2023</w:t>
              </w:r>
            </w:hyperlink>
            <w:r>
              <w:rPr>
                <w:rFonts w:ascii="Arial" w:hAnsi="Arial" w:cs="Arial"/>
              </w:rPr>
              <w:t xml:space="preserve"> </w:t>
            </w:r>
            <w:hyperlink r:id="rId9" w:history="1">
              <w:r w:rsidRPr="00C46728">
                <w:rPr>
                  <w:rStyle w:val="Hyperlink"/>
                  <w:rFonts w:ascii="Arial" w:hAnsi="Arial" w:cs="Arial"/>
                </w:rPr>
                <w:t>(Item 2</w:t>
              </w:r>
              <w:r w:rsidRPr="00C46728">
                <w:rPr>
                  <w:rStyle w:val="Hyperlink"/>
                  <w:rFonts w:ascii="Arial" w:hAnsi="Arial" w:cs="Arial"/>
                </w:rPr>
                <w:t>3</w:t>
              </w:r>
              <w:r w:rsidR="006B2193">
                <w:rPr>
                  <w:rStyle w:val="Hyperlink"/>
                  <w:rFonts w:ascii="Arial" w:hAnsi="Arial" w:cs="Arial"/>
                </w:rPr>
                <w:t xml:space="preserve"> </w:t>
              </w:r>
              <w:r w:rsidR="006B2193">
                <w:rPr>
                  <w:rStyle w:val="Hyperlink"/>
                </w:rPr>
                <w:t>-</w:t>
              </w:r>
              <w:r w:rsidRPr="00C46728">
                <w:rPr>
                  <w:rStyle w:val="Hyperlink"/>
                  <w:rFonts w:ascii="Arial" w:hAnsi="Arial" w:cs="Arial"/>
                </w:rPr>
                <w:t xml:space="preserve"> </w:t>
              </w:r>
              <w:r w:rsidRPr="00C46728">
                <w:rPr>
                  <w:rStyle w:val="Hyperlink"/>
                  <w:rFonts w:ascii="Arial" w:hAnsi="Arial" w:cs="Arial"/>
                  <w:bCs/>
                  <w:bdr w:val="none" w:sz="0" w:space="0" w:color="auto" w:frame="1"/>
                </w:rPr>
                <w:t>Future Resettlement Commitments for New Refugee Families</w:t>
              </w:r>
              <w:r w:rsidRPr="00C46728">
                <w:rPr>
                  <w:rStyle w:val="Hyperlink"/>
                  <w:rFonts w:ascii="Arial" w:hAnsi="Arial" w:cs="Arial"/>
                </w:rPr>
                <w:t>)</w:t>
              </w:r>
            </w:hyperlink>
            <w:r w:rsidRPr="004617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resolved to:</w:t>
            </w:r>
          </w:p>
          <w:p w14:paraId="55D666CF" w14:textId="77777777" w:rsidR="0046170E" w:rsidRDefault="0046170E" w:rsidP="00E97024">
            <w:pPr>
              <w:rPr>
                <w:rFonts w:ascii="Arial" w:hAnsi="Arial" w:cs="Arial"/>
              </w:rPr>
            </w:pPr>
          </w:p>
          <w:p w14:paraId="0CE64441" w14:textId="77777777" w:rsidR="0046170E" w:rsidRPr="0046170E" w:rsidRDefault="0046170E" w:rsidP="006B2193">
            <w:pPr>
              <w:numPr>
                <w:ilvl w:val="0"/>
                <w:numId w:val="8"/>
              </w:numPr>
              <w:ind w:left="426" w:hanging="434"/>
              <w:rPr>
                <w:rFonts w:ascii="Arial" w:hAnsi="Arial" w:cs="Arial"/>
              </w:rPr>
            </w:pPr>
            <w:r w:rsidRPr="0046170E">
              <w:rPr>
                <w:rFonts w:ascii="Arial" w:hAnsi="Arial" w:cs="Arial"/>
                <w:b/>
              </w:rPr>
              <w:t>Approve</w:t>
            </w:r>
            <w:r w:rsidRPr="0046170E">
              <w:rPr>
                <w:rFonts w:ascii="Arial" w:hAnsi="Arial" w:cs="Arial"/>
              </w:rPr>
              <w:t xml:space="preserve"> the resettlement of a minimum of 8 refugee families per year from any of the resettlement schemes highlighted in the report for a period of 5 years from 2023 to 2028, on the condition that the requirements in paragraph 21 of the report are consistently met to ensure scheme </w:t>
            </w:r>
            <w:proofErr w:type="gramStart"/>
            <w:r w:rsidRPr="0046170E">
              <w:rPr>
                <w:rFonts w:ascii="Arial" w:hAnsi="Arial" w:cs="Arial"/>
              </w:rPr>
              <w:t>viability;</w:t>
            </w:r>
            <w:proofErr w:type="gramEnd"/>
          </w:p>
          <w:p w14:paraId="78D5211D" w14:textId="77777777" w:rsidR="0046170E" w:rsidRPr="0046170E" w:rsidRDefault="0046170E" w:rsidP="006B2193">
            <w:pPr>
              <w:ind w:left="426" w:hanging="434"/>
              <w:rPr>
                <w:rFonts w:ascii="Arial" w:hAnsi="Arial" w:cs="Arial"/>
              </w:rPr>
            </w:pPr>
          </w:p>
          <w:p w14:paraId="23645BE2" w14:textId="77777777" w:rsidR="0046170E" w:rsidRPr="0046170E" w:rsidRDefault="0046170E" w:rsidP="006B2193">
            <w:pPr>
              <w:numPr>
                <w:ilvl w:val="0"/>
                <w:numId w:val="8"/>
              </w:numPr>
              <w:ind w:left="426" w:hanging="434"/>
              <w:rPr>
                <w:rFonts w:ascii="Arial" w:hAnsi="Arial" w:cs="Arial"/>
              </w:rPr>
            </w:pPr>
            <w:r w:rsidRPr="0046170E">
              <w:rPr>
                <w:rFonts w:ascii="Arial" w:hAnsi="Arial" w:cs="Arial"/>
                <w:b/>
              </w:rPr>
              <w:t>Delegate authority</w:t>
            </w:r>
            <w:r w:rsidRPr="0046170E">
              <w:rPr>
                <w:rFonts w:ascii="Arial" w:hAnsi="Arial" w:cs="Arial"/>
              </w:rPr>
              <w:t xml:space="preserve"> to the Executive Director (Communities and People), in consultation with the Cabinet Member for Housing, to agree the resettlement of additional refugees above this allocation (which will incur additional expenditure from </w:t>
            </w:r>
            <w:proofErr w:type="gramStart"/>
            <w:r w:rsidRPr="0046170E">
              <w:rPr>
                <w:rFonts w:ascii="Arial" w:hAnsi="Arial" w:cs="Arial"/>
              </w:rPr>
              <w:t>Home</w:t>
            </w:r>
            <w:proofErr w:type="gramEnd"/>
            <w:r w:rsidRPr="0046170E">
              <w:rPr>
                <w:rFonts w:ascii="Arial" w:hAnsi="Arial" w:cs="Arial"/>
              </w:rPr>
              <w:t xml:space="preserve"> Office grant funding for support provision) subject to sufficient grant funding;</w:t>
            </w:r>
          </w:p>
          <w:p w14:paraId="5C25BACD" w14:textId="77777777" w:rsidR="0046170E" w:rsidRPr="0046170E" w:rsidRDefault="0046170E" w:rsidP="006B2193">
            <w:pPr>
              <w:ind w:left="426" w:hanging="434"/>
              <w:rPr>
                <w:rFonts w:ascii="Arial" w:hAnsi="Arial" w:cs="Arial"/>
              </w:rPr>
            </w:pPr>
          </w:p>
          <w:p w14:paraId="2E7C322D" w14:textId="77777777" w:rsidR="0046170E" w:rsidRPr="0046170E" w:rsidRDefault="0046170E" w:rsidP="006B2193">
            <w:pPr>
              <w:numPr>
                <w:ilvl w:val="0"/>
                <w:numId w:val="8"/>
              </w:numPr>
              <w:ind w:left="426" w:hanging="434"/>
              <w:rPr>
                <w:rFonts w:ascii="Arial" w:hAnsi="Arial" w:cs="Arial"/>
              </w:rPr>
            </w:pPr>
            <w:r w:rsidRPr="0046170E">
              <w:rPr>
                <w:rFonts w:ascii="Arial" w:hAnsi="Arial" w:cs="Arial"/>
                <w:b/>
              </w:rPr>
              <w:t>Approve</w:t>
            </w:r>
            <w:r w:rsidRPr="0046170E">
              <w:rPr>
                <w:rFonts w:ascii="Arial" w:hAnsi="Arial" w:cs="Arial"/>
              </w:rPr>
              <w:t xml:space="preserve"> the use of </w:t>
            </w:r>
            <w:proofErr w:type="gramStart"/>
            <w:r w:rsidRPr="0046170E">
              <w:rPr>
                <w:rFonts w:ascii="Arial" w:hAnsi="Arial" w:cs="Arial"/>
              </w:rPr>
              <w:t>Home</w:t>
            </w:r>
            <w:proofErr w:type="gramEnd"/>
            <w:r w:rsidRPr="0046170E">
              <w:rPr>
                <w:rFonts w:ascii="Arial" w:hAnsi="Arial" w:cs="Arial"/>
              </w:rPr>
              <w:t xml:space="preserve"> Office grant funding of up to £1,313,840 (see Appendix 2) to procure the provision of 2 years of person centred support for each refugee family arriving in Oxford during the 5 year period between 2023 -2028;</w:t>
            </w:r>
          </w:p>
          <w:p w14:paraId="6D9DAACE" w14:textId="77777777" w:rsidR="0046170E" w:rsidRPr="0046170E" w:rsidRDefault="0046170E" w:rsidP="006B2193">
            <w:pPr>
              <w:ind w:left="426" w:hanging="434"/>
              <w:rPr>
                <w:rFonts w:ascii="Arial" w:hAnsi="Arial" w:cs="Arial"/>
              </w:rPr>
            </w:pPr>
          </w:p>
          <w:p w14:paraId="54AEA575" w14:textId="77777777" w:rsidR="0046170E" w:rsidRPr="0046170E" w:rsidRDefault="0046170E" w:rsidP="006B2193">
            <w:pPr>
              <w:numPr>
                <w:ilvl w:val="0"/>
                <w:numId w:val="8"/>
              </w:numPr>
              <w:ind w:left="426" w:hanging="434"/>
              <w:rPr>
                <w:rFonts w:ascii="Arial" w:hAnsi="Arial" w:cs="Arial"/>
              </w:rPr>
            </w:pPr>
            <w:r w:rsidRPr="0046170E">
              <w:rPr>
                <w:rFonts w:ascii="Arial" w:hAnsi="Arial" w:cs="Arial"/>
                <w:b/>
              </w:rPr>
              <w:t>Delegate authority</w:t>
            </w:r>
            <w:r w:rsidRPr="0046170E">
              <w:rPr>
                <w:rFonts w:ascii="Arial" w:hAnsi="Arial" w:cs="Arial"/>
              </w:rPr>
              <w:t xml:space="preserve"> to the Head of Housing in consultation with the Cabinet Member for Housing to approve the use of the </w:t>
            </w:r>
            <w:proofErr w:type="gramStart"/>
            <w:r w:rsidRPr="0046170E">
              <w:rPr>
                <w:rFonts w:ascii="Arial" w:hAnsi="Arial" w:cs="Arial"/>
              </w:rPr>
              <w:t>Home</w:t>
            </w:r>
            <w:proofErr w:type="gramEnd"/>
            <w:r w:rsidRPr="0046170E">
              <w:rPr>
                <w:rFonts w:ascii="Arial" w:hAnsi="Arial" w:cs="Arial"/>
              </w:rPr>
              <w:t xml:space="preserve"> Office grant funding to procure additional person centred support as required; and</w:t>
            </w:r>
          </w:p>
          <w:p w14:paraId="4B0E66D3" w14:textId="77777777" w:rsidR="0046170E" w:rsidRPr="0046170E" w:rsidRDefault="0046170E" w:rsidP="006B2193">
            <w:pPr>
              <w:ind w:left="426" w:hanging="434"/>
              <w:rPr>
                <w:rFonts w:ascii="Arial" w:hAnsi="Arial" w:cs="Arial"/>
              </w:rPr>
            </w:pPr>
          </w:p>
          <w:p w14:paraId="028B8705" w14:textId="48DD6131" w:rsidR="0046170E" w:rsidRPr="0046170E" w:rsidRDefault="0046170E" w:rsidP="006B2193">
            <w:pPr>
              <w:numPr>
                <w:ilvl w:val="0"/>
                <w:numId w:val="8"/>
              </w:numPr>
              <w:ind w:left="426" w:hanging="434"/>
              <w:rPr>
                <w:rFonts w:ascii="Arial" w:hAnsi="Arial" w:cs="Arial"/>
              </w:rPr>
            </w:pPr>
            <w:r w:rsidRPr="0046170E">
              <w:rPr>
                <w:rFonts w:ascii="Arial" w:hAnsi="Arial" w:cs="Arial"/>
                <w:b/>
              </w:rPr>
              <w:t>Delegate authority</w:t>
            </w:r>
            <w:r w:rsidRPr="0046170E">
              <w:rPr>
                <w:rFonts w:ascii="Arial" w:hAnsi="Arial" w:cs="Arial"/>
              </w:rPr>
              <w:t xml:space="preserve"> to the Head of Housing in consultation with the Head of Financial Services/S151 Officer, the Head of Law and Governance and the Cabinet Member for Housing to allocate the approved budget and </w:t>
            </w:r>
            <w:proofErr w:type="gramStart"/>
            <w:r w:rsidRPr="0046170E">
              <w:rPr>
                <w:rFonts w:ascii="Arial" w:hAnsi="Arial" w:cs="Arial"/>
              </w:rPr>
              <w:t>enter into</w:t>
            </w:r>
            <w:proofErr w:type="gramEnd"/>
            <w:r w:rsidRPr="0046170E">
              <w:rPr>
                <w:rFonts w:ascii="Arial" w:hAnsi="Arial" w:cs="Arial"/>
              </w:rPr>
              <w:t xml:space="preserve"> contract(s) with a provider(s) for the provision of person</w:t>
            </w:r>
            <w:r w:rsidR="006B2193">
              <w:rPr>
                <w:rFonts w:ascii="Arial" w:hAnsi="Arial" w:cs="Arial"/>
              </w:rPr>
              <w:t>-</w:t>
            </w:r>
            <w:r w:rsidRPr="0046170E">
              <w:rPr>
                <w:rFonts w:ascii="Arial" w:hAnsi="Arial" w:cs="Arial"/>
              </w:rPr>
              <w:t>centred support.</w:t>
            </w:r>
            <w:bookmarkEnd w:id="0"/>
          </w:p>
          <w:p w14:paraId="55668B21" w14:textId="002390F5" w:rsidR="0046170E" w:rsidRPr="00E20A54" w:rsidRDefault="0046170E" w:rsidP="00E97024">
            <w:pPr>
              <w:rPr>
                <w:rFonts w:ascii="Arial" w:hAnsi="Arial" w:cs="Arial"/>
              </w:rPr>
            </w:pPr>
          </w:p>
        </w:tc>
      </w:tr>
      <w:tr w:rsidR="00B87695" w14:paraId="55668B25" w14:textId="77777777" w:rsidTr="00E97024">
        <w:tc>
          <w:tcPr>
            <w:tcW w:w="3715" w:type="dxa"/>
          </w:tcPr>
          <w:p w14:paraId="55668B23" w14:textId="6E4D99E2"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7F6C0CE5" w14:textId="5FC21FE3" w:rsidR="006247C4" w:rsidRDefault="00DA6762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gramStart"/>
            <w:r>
              <w:rPr>
                <w:rFonts w:ascii="Arial" w:hAnsi="Arial" w:cs="Arial"/>
              </w:rPr>
              <w:t>enter into</w:t>
            </w:r>
            <w:proofErr w:type="gramEnd"/>
            <w:r>
              <w:rPr>
                <w:rFonts w:ascii="Arial" w:hAnsi="Arial" w:cs="Arial"/>
              </w:rPr>
              <w:t xml:space="preserve"> contract with Asylum Welcome to provide person-centred support for </w:t>
            </w:r>
            <w:r w:rsidR="0005116F">
              <w:rPr>
                <w:rFonts w:ascii="Arial" w:hAnsi="Arial" w:cs="Arial"/>
              </w:rPr>
              <w:t xml:space="preserve">refugees </w:t>
            </w:r>
            <w:r w:rsidR="006B2193">
              <w:rPr>
                <w:rFonts w:ascii="Arial" w:hAnsi="Arial" w:cs="Arial"/>
              </w:rPr>
              <w:t>who</w:t>
            </w:r>
            <w:r w:rsidR="0005116F">
              <w:rPr>
                <w:rFonts w:ascii="Arial" w:hAnsi="Arial" w:cs="Arial"/>
              </w:rPr>
              <w:t xml:space="preserve"> arrive at </w:t>
            </w:r>
            <w:r w:rsidR="0005116F">
              <w:rPr>
                <w:rFonts w:ascii="Arial" w:hAnsi="Arial" w:cs="Arial"/>
              </w:rPr>
              <w:lastRenderedPageBreak/>
              <w:t xml:space="preserve">Oxford city via government grant funded </w:t>
            </w:r>
            <w:r w:rsidR="006B2193">
              <w:rPr>
                <w:rFonts w:ascii="Arial" w:hAnsi="Arial" w:cs="Arial"/>
              </w:rPr>
              <w:t>r</w:t>
            </w:r>
            <w:r w:rsidR="0005116F">
              <w:rPr>
                <w:rFonts w:ascii="Arial" w:hAnsi="Arial" w:cs="Arial"/>
              </w:rPr>
              <w:t xml:space="preserve">esettlement </w:t>
            </w:r>
            <w:r w:rsidR="006B2193">
              <w:rPr>
                <w:rFonts w:ascii="Arial" w:hAnsi="Arial" w:cs="Arial"/>
              </w:rPr>
              <w:t>s</w:t>
            </w:r>
            <w:r w:rsidR="0005116F">
              <w:rPr>
                <w:rFonts w:ascii="Arial" w:hAnsi="Arial" w:cs="Arial"/>
              </w:rPr>
              <w:t>chemes.</w:t>
            </w:r>
          </w:p>
          <w:p w14:paraId="47C7190F" w14:textId="5266AB5F" w:rsidR="0005116F" w:rsidRDefault="0005116F" w:rsidP="00CB5E4F">
            <w:pPr>
              <w:rPr>
                <w:rFonts w:ascii="Arial" w:hAnsi="Arial" w:cs="Arial"/>
              </w:rPr>
            </w:pPr>
          </w:p>
          <w:p w14:paraId="0F800E72" w14:textId="17BAA195" w:rsidR="0005116F" w:rsidRDefault="0005116F" w:rsidP="00CB5E4F">
            <w:pPr>
              <w:rPr>
                <w:rFonts w:ascii="Arial" w:hAnsi="Arial" w:cs="Arial"/>
              </w:rPr>
            </w:pPr>
            <w:bookmarkStart w:id="1" w:name="_Hlk150925519"/>
            <w:r>
              <w:rPr>
                <w:rFonts w:ascii="Arial" w:hAnsi="Arial" w:cs="Arial"/>
              </w:rPr>
              <w:t xml:space="preserve">The contract will be funded by </w:t>
            </w:r>
            <w:proofErr w:type="gramStart"/>
            <w:r>
              <w:rPr>
                <w:rFonts w:ascii="Arial" w:hAnsi="Arial" w:cs="Arial"/>
              </w:rPr>
              <w:t>Home</w:t>
            </w:r>
            <w:proofErr w:type="gramEnd"/>
            <w:r>
              <w:rPr>
                <w:rFonts w:ascii="Arial" w:hAnsi="Arial" w:cs="Arial"/>
              </w:rPr>
              <w:t xml:space="preserve"> Office grant funding </w:t>
            </w:r>
            <w:r w:rsidR="003914DE">
              <w:rPr>
                <w:rFonts w:ascii="Arial" w:hAnsi="Arial" w:cs="Arial"/>
              </w:rPr>
              <w:t>only</w:t>
            </w:r>
            <w:r w:rsidR="006B2193">
              <w:rPr>
                <w:rFonts w:ascii="Arial" w:hAnsi="Arial" w:cs="Arial"/>
              </w:rPr>
              <w:t>,</w:t>
            </w:r>
            <w:r w:rsidR="003914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will be initially setup for a 2 year duration with a review each year to check viability of the project. No financial burden will be placed on the </w:t>
            </w:r>
            <w:r w:rsidR="006B2193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ouncil. </w:t>
            </w:r>
          </w:p>
          <w:p w14:paraId="22116871" w14:textId="10E06BCE" w:rsidR="0005116F" w:rsidRDefault="0005116F" w:rsidP="00CB5E4F">
            <w:pPr>
              <w:rPr>
                <w:rFonts w:ascii="Arial" w:hAnsi="Arial" w:cs="Arial"/>
              </w:rPr>
            </w:pPr>
          </w:p>
          <w:p w14:paraId="0C946C85" w14:textId="14547D00" w:rsidR="0005116F" w:rsidRDefault="0005116F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potential total grant funding available to provide person-centred support only, assuming up to 40 properties can be secured over a </w:t>
            </w:r>
            <w:r w:rsidR="00F36DD5">
              <w:rPr>
                <w:rFonts w:ascii="Arial" w:hAnsi="Arial" w:cs="Arial"/>
              </w:rPr>
              <w:t>5-year</w:t>
            </w:r>
            <w:r>
              <w:rPr>
                <w:rFonts w:ascii="Arial" w:hAnsi="Arial" w:cs="Arial"/>
              </w:rPr>
              <w:t xml:space="preserve"> period to accommodate 40 families </w:t>
            </w:r>
            <w:r w:rsidR="00F36DD5">
              <w:rPr>
                <w:rFonts w:ascii="Arial" w:hAnsi="Arial" w:cs="Arial"/>
              </w:rPr>
              <w:t>(equates to an average of 29 individuals per year)</w:t>
            </w:r>
            <w:r w:rsidR="006B2193">
              <w:rPr>
                <w:rFonts w:ascii="Arial" w:hAnsi="Arial" w:cs="Arial"/>
              </w:rPr>
              <w:t>,</w:t>
            </w:r>
            <w:r w:rsidR="00F36D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will be up to £</w:t>
            </w:r>
            <w:r w:rsidR="003914DE" w:rsidRPr="003914DE">
              <w:rPr>
                <w:rFonts w:ascii="Arial" w:hAnsi="Arial" w:cs="Arial"/>
              </w:rPr>
              <w:t>1,313,840</w:t>
            </w:r>
            <w:r>
              <w:rPr>
                <w:rFonts w:ascii="Arial" w:hAnsi="Arial" w:cs="Arial"/>
              </w:rPr>
              <w:t>.</w:t>
            </w:r>
          </w:p>
          <w:p w14:paraId="2328D6EC" w14:textId="70C9E430" w:rsidR="0005116F" w:rsidRDefault="0005116F" w:rsidP="00CB5E4F">
            <w:pPr>
              <w:rPr>
                <w:rFonts w:ascii="Arial" w:hAnsi="Arial" w:cs="Arial"/>
              </w:rPr>
            </w:pPr>
          </w:p>
          <w:p w14:paraId="0C43F815" w14:textId="585B0C1E" w:rsidR="0005116F" w:rsidRDefault="0005116F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3914DE">
              <w:rPr>
                <w:rFonts w:ascii="Arial" w:hAnsi="Arial" w:cs="Arial"/>
              </w:rPr>
              <w:t xml:space="preserve"> average support cost for 16 families over 2 years has been quoted at £187,064.00. However, this may fluctuate depending upon the size of the property</w:t>
            </w:r>
            <w:r w:rsidR="00F36DD5">
              <w:rPr>
                <w:rFonts w:ascii="Arial" w:hAnsi="Arial" w:cs="Arial"/>
              </w:rPr>
              <w:t xml:space="preserve"> available and the number of individuals </w:t>
            </w:r>
            <w:r w:rsidR="00432B93">
              <w:rPr>
                <w:rFonts w:ascii="Arial" w:hAnsi="Arial" w:cs="Arial"/>
              </w:rPr>
              <w:t>who</w:t>
            </w:r>
            <w:r w:rsidR="00F36DD5">
              <w:rPr>
                <w:rFonts w:ascii="Arial" w:hAnsi="Arial" w:cs="Arial"/>
              </w:rPr>
              <w:t xml:space="preserve"> are welcomed.</w:t>
            </w:r>
          </w:p>
          <w:p w14:paraId="06D136AE" w14:textId="4A2BA403" w:rsidR="0005116F" w:rsidRDefault="0005116F" w:rsidP="00CB5E4F">
            <w:pPr>
              <w:rPr>
                <w:rFonts w:ascii="Arial" w:hAnsi="Arial" w:cs="Arial"/>
              </w:rPr>
            </w:pPr>
          </w:p>
          <w:p w14:paraId="3C193316" w14:textId="084C125D" w:rsidR="0005116F" w:rsidRPr="006B2193" w:rsidRDefault="00F36DD5" w:rsidP="006B21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Should the numbers of individuals increase, then grant funding will increase respectively.</w:t>
            </w:r>
            <w:bookmarkEnd w:id="1"/>
          </w:p>
          <w:p w14:paraId="55668B24" w14:textId="6F37B928" w:rsidR="0005116F" w:rsidRPr="00A96C08" w:rsidRDefault="0005116F" w:rsidP="00CB5E4F">
            <w:pPr>
              <w:rPr>
                <w:rFonts w:ascii="Arial" w:hAnsi="Arial" w:cs="Arial"/>
              </w:rPr>
            </w:pPr>
          </w:p>
        </w:tc>
      </w:tr>
      <w:tr w:rsidR="00373F5D" w14:paraId="55668B28" w14:textId="77777777" w:rsidTr="00E97024">
        <w:tc>
          <w:tcPr>
            <w:tcW w:w="3715" w:type="dxa"/>
          </w:tcPr>
          <w:p w14:paraId="55668B26" w14:textId="69693773"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Purpose: </w:t>
            </w:r>
          </w:p>
        </w:tc>
        <w:tc>
          <w:tcPr>
            <w:tcW w:w="6209" w:type="dxa"/>
          </w:tcPr>
          <w:p w14:paraId="36B3F8CC" w14:textId="16DAABC3" w:rsidR="00960744" w:rsidRDefault="00F36DD5" w:rsidP="00960744">
            <w:pPr>
              <w:rPr>
                <w:rFonts w:ascii="Arial" w:hAnsi="Arial" w:cs="Arial"/>
              </w:rPr>
            </w:pPr>
            <w:bookmarkStart w:id="2" w:name="_Hlk150925668"/>
            <w:r>
              <w:rPr>
                <w:rFonts w:ascii="Arial" w:hAnsi="Arial" w:cs="Arial"/>
              </w:rPr>
              <w:t>Co</w:t>
            </w:r>
            <w:r w:rsidR="00122C98">
              <w:rPr>
                <w:rFonts w:ascii="Arial" w:hAnsi="Arial" w:cs="Arial"/>
              </w:rPr>
              <w:t xml:space="preserve">mmitment to this new contract will allow the </w:t>
            </w:r>
            <w:r w:rsidR="006B2193">
              <w:rPr>
                <w:rFonts w:ascii="Arial" w:hAnsi="Arial" w:cs="Arial"/>
              </w:rPr>
              <w:t>C</w:t>
            </w:r>
            <w:r w:rsidR="00122C98">
              <w:rPr>
                <w:rFonts w:ascii="Arial" w:hAnsi="Arial" w:cs="Arial"/>
              </w:rPr>
              <w:t xml:space="preserve">ouncil to procure a dedicated support service </w:t>
            </w:r>
            <w:r w:rsidR="006B2193">
              <w:rPr>
                <w:rFonts w:ascii="Arial" w:hAnsi="Arial" w:cs="Arial"/>
              </w:rPr>
              <w:t>which</w:t>
            </w:r>
            <w:r w:rsidR="00122C98">
              <w:rPr>
                <w:rFonts w:ascii="Arial" w:hAnsi="Arial" w:cs="Arial"/>
              </w:rPr>
              <w:t xml:space="preserve"> will fulfil the </w:t>
            </w:r>
            <w:r w:rsidR="006B2193">
              <w:rPr>
                <w:rFonts w:ascii="Arial" w:hAnsi="Arial" w:cs="Arial"/>
              </w:rPr>
              <w:t>C</w:t>
            </w:r>
            <w:r w:rsidR="00122C98">
              <w:rPr>
                <w:rFonts w:ascii="Arial" w:hAnsi="Arial" w:cs="Arial"/>
              </w:rPr>
              <w:t>ouncil’s obligations of resettling more refugee families.</w:t>
            </w:r>
            <w:bookmarkEnd w:id="2"/>
          </w:p>
          <w:p w14:paraId="55668B27" w14:textId="6DD59B4E" w:rsidR="006B2193" w:rsidRPr="00A96C08" w:rsidRDefault="006B2193" w:rsidP="00960744">
            <w:pPr>
              <w:rPr>
                <w:rFonts w:ascii="Arial" w:hAnsi="Arial" w:cs="Arial"/>
              </w:rPr>
            </w:pPr>
          </w:p>
        </w:tc>
      </w:tr>
      <w:tr w:rsidR="00DC2E8D" w14:paraId="55668B2B" w14:textId="77777777" w:rsidTr="00E97024">
        <w:tc>
          <w:tcPr>
            <w:tcW w:w="3715" w:type="dxa"/>
          </w:tcPr>
          <w:p w14:paraId="55668B29" w14:textId="5DFC2889"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14:paraId="4678FEE3" w14:textId="77777777" w:rsidR="00757726" w:rsidRDefault="00F36DD5" w:rsidP="00757726">
            <w:pPr>
              <w:rPr>
                <w:rFonts w:ascii="Arial" w:hAnsi="Arial" w:cs="Arial"/>
              </w:rPr>
            </w:pPr>
            <w:bookmarkStart w:id="3" w:name="_Hlk150925687"/>
            <w:r>
              <w:rPr>
                <w:rFonts w:ascii="Arial" w:hAnsi="Arial" w:cs="Arial"/>
              </w:rPr>
              <w:t>To continue the delivery of person-centred support for an extremely vulnerable client group as we welcome them to our city.</w:t>
            </w:r>
          </w:p>
          <w:bookmarkEnd w:id="3"/>
          <w:p w14:paraId="55668B2A" w14:textId="1EBFFDD1" w:rsidR="0047463D" w:rsidRPr="00A96C08" w:rsidRDefault="0047463D" w:rsidP="00757726">
            <w:pPr>
              <w:rPr>
                <w:rFonts w:ascii="Arial" w:hAnsi="Arial" w:cs="Arial"/>
              </w:rPr>
            </w:pPr>
          </w:p>
        </w:tc>
      </w:tr>
      <w:tr w:rsidR="00B87695" w14:paraId="55668B2E" w14:textId="77777777" w:rsidTr="00E97024">
        <w:tc>
          <w:tcPr>
            <w:tcW w:w="3715" w:type="dxa"/>
          </w:tcPr>
          <w:p w14:paraId="55668B2C" w14:textId="2DAC01A9"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14:paraId="55668B2D" w14:textId="41E065FC" w:rsidR="00122C98" w:rsidRPr="00A96C08" w:rsidRDefault="00122C9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Nerys Parry</w:t>
            </w:r>
            <w:r w:rsidR="006B219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Head of Housing</w:t>
            </w:r>
            <w:r w:rsidR="006B2193">
              <w:rPr>
                <w:rFonts w:ascii="Arial" w:hAnsi="Arial" w:cs="Arial"/>
              </w:rPr>
              <w:t xml:space="preserve"> Services</w:t>
            </w:r>
          </w:p>
        </w:tc>
      </w:tr>
      <w:tr w:rsidR="006F6326" w14:paraId="55668B31" w14:textId="77777777" w:rsidTr="00E97024">
        <w:tc>
          <w:tcPr>
            <w:tcW w:w="3715" w:type="dxa"/>
          </w:tcPr>
          <w:p w14:paraId="55668B2F" w14:textId="58B53A27"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73A7811F" w14:textId="1918CCF5" w:rsidR="00263039" w:rsidRDefault="006B2193" w:rsidP="00960744">
            <w:pPr>
              <w:rPr>
                <w:rFonts w:ascii="Arial" w:hAnsi="Arial" w:cs="Arial"/>
              </w:rPr>
            </w:pPr>
            <w:bookmarkStart w:id="4" w:name="_Hlk150925726"/>
            <w:r>
              <w:rPr>
                <w:rFonts w:ascii="Arial" w:hAnsi="Arial" w:cs="Arial"/>
              </w:rPr>
              <w:t>N</w:t>
            </w:r>
            <w:r w:rsidR="00F62565">
              <w:rPr>
                <w:rFonts w:ascii="Arial" w:hAnsi="Arial" w:cs="Arial"/>
              </w:rPr>
              <w:t xml:space="preserve">ot to </w:t>
            </w:r>
            <w:proofErr w:type="gramStart"/>
            <w:r w:rsidR="00F62565">
              <w:rPr>
                <w:rFonts w:ascii="Arial" w:hAnsi="Arial" w:cs="Arial"/>
              </w:rPr>
              <w:t>enter into</w:t>
            </w:r>
            <w:proofErr w:type="gramEnd"/>
            <w:r w:rsidR="00F62565">
              <w:rPr>
                <w:rFonts w:ascii="Arial" w:hAnsi="Arial" w:cs="Arial"/>
              </w:rPr>
              <w:t xml:space="preserve"> this contract</w:t>
            </w:r>
            <w:r>
              <w:rPr>
                <w:rFonts w:ascii="Arial" w:hAnsi="Arial" w:cs="Arial"/>
              </w:rPr>
              <w:t>.  This option was rejected as it</w:t>
            </w:r>
            <w:r w:rsidR="00F62565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>ould</w:t>
            </w:r>
            <w:r w:rsidR="00F62565">
              <w:rPr>
                <w:rFonts w:ascii="Arial" w:hAnsi="Arial" w:cs="Arial"/>
              </w:rPr>
              <w:t xml:space="preserve"> mean that the </w:t>
            </w:r>
            <w:r>
              <w:rPr>
                <w:rFonts w:ascii="Arial" w:hAnsi="Arial" w:cs="Arial"/>
              </w:rPr>
              <w:t>C</w:t>
            </w:r>
            <w:r w:rsidR="00F62565">
              <w:rPr>
                <w:rFonts w:ascii="Arial" w:hAnsi="Arial" w:cs="Arial"/>
              </w:rPr>
              <w:t>ouncil w</w:t>
            </w:r>
            <w:r>
              <w:rPr>
                <w:rFonts w:ascii="Arial" w:hAnsi="Arial" w:cs="Arial"/>
              </w:rPr>
              <w:t>ould</w:t>
            </w:r>
            <w:r w:rsidR="00F62565">
              <w:rPr>
                <w:rFonts w:ascii="Arial" w:hAnsi="Arial" w:cs="Arial"/>
              </w:rPr>
              <w:t xml:space="preserve"> not be able to fulfil its commitment of resettling more vulnerable families, therefore also failing our commitment with regards to </w:t>
            </w:r>
            <w:r>
              <w:rPr>
                <w:rFonts w:ascii="Arial" w:hAnsi="Arial" w:cs="Arial"/>
              </w:rPr>
              <w:t>being a City</w:t>
            </w:r>
            <w:r w:rsidR="00F62565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S</w:t>
            </w:r>
            <w:r w:rsidR="00F62565">
              <w:rPr>
                <w:rFonts w:ascii="Arial" w:hAnsi="Arial" w:cs="Arial"/>
              </w:rPr>
              <w:t>anctuary.</w:t>
            </w:r>
            <w:bookmarkEnd w:id="4"/>
          </w:p>
          <w:p w14:paraId="55668B30" w14:textId="3B84E08E" w:rsidR="006B2193" w:rsidRPr="00A96C08" w:rsidRDefault="006B2193" w:rsidP="00960744">
            <w:pPr>
              <w:rPr>
                <w:rFonts w:ascii="Arial" w:hAnsi="Arial" w:cs="Arial"/>
              </w:rPr>
            </w:pPr>
          </w:p>
        </w:tc>
      </w:tr>
      <w:tr w:rsidR="006F6326" w14:paraId="55668B34" w14:textId="77777777" w:rsidTr="006B2193">
        <w:tc>
          <w:tcPr>
            <w:tcW w:w="3715" w:type="dxa"/>
          </w:tcPr>
          <w:p w14:paraId="55668B32" w14:textId="677B995C"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14:paraId="55668B33" w14:textId="55C1AE19" w:rsidR="00F62565" w:rsidRPr="00A96C08" w:rsidRDefault="00F6256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55668B37" w14:textId="77777777" w:rsidTr="00E97024">
        <w:tc>
          <w:tcPr>
            <w:tcW w:w="3715" w:type="dxa"/>
          </w:tcPr>
          <w:p w14:paraId="55668B35" w14:textId="0BB74DC5"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55668B36" w14:textId="184DB545" w:rsidR="00F62565" w:rsidRPr="00A96C08" w:rsidRDefault="00F6256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</w:t>
            </w:r>
            <w:r w:rsidR="006B2193">
              <w:rPr>
                <w:rFonts w:ascii="Arial" w:hAnsi="Arial" w:cs="Arial"/>
              </w:rPr>
              <w:t xml:space="preserve"> (income or expenditure of £500k or over)</w:t>
            </w:r>
          </w:p>
        </w:tc>
      </w:tr>
      <w:tr w:rsidR="006F6326" w14:paraId="55668B3A" w14:textId="77777777" w:rsidTr="00E97024">
        <w:tc>
          <w:tcPr>
            <w:tcW w:w="3715" w:type="dxa"/>
          </w:tcPr>
          <w:p w14:paraId="55668B38" w14:textId="782FE11E"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55668B39" w14:textId="158931AC" w:rsidR="00F62565" w:rsidRPr="00A96C08" w:rsidRDefault="00F6256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55668B3D" w14:textId="77777777" w:rsidTr="00E97024">
        <w:tc>
          <w:tcPr>
            <w:tcW w:w="3715" w:type="dxa"/>
          </w:tcPr>
          <w:p w14:paraId="55668B3B" w14:textId="5FDC3FEC"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55668B3C" w14:textId="69FE6BD3" w:rsidR="00F62565" w:rsidRPr="00A96C08" w:rsidRDefault="00F6256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14:paraId="55668B42" w14:textId="77777777" w:rsidTr="00E97024">
        <w:tc>
          <w:tcPr>
            <w:tcW w:w="3715" w:type="dxa"/>
          </w:tcPr>
          <w:p w14:paraId="55668B3E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55668B3F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55668B40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14:paraId="7F2B9A66" w14:textId="77777777" w:rsidR="00F62565" w:rsidRDefault="00F62565" w:rsidP="008A22C6">
            <w:pPr>
              <w:rPr>
                <w:rFonts w:ascii="Arial" w:hAnsi="Arial" w:cs="Arial"/>
              </w:rPr>
            </w:pPr>
          </w:p>
          <w:p w14:paraId="4E576A34" w14:textId="262BF390" w:rsidR="00960744" w:rsidRDefault="00F6256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Chandler</w:t>
            </w:r>
          </w:p>
          <w:p w14:paraId="10E24F6B" w14:textId="77777777" w:rsidR="00F62565" w:rsidRDefault="00F6256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Refugee &amp; Migrant Officer</w:t>
            </w:r>
          </w:p>
          <w:p w14:paraId="55668B41" w14:textId="1F8D1CAC" w:rsidR="00F62565" w:rsidRPr="00A96C08" w:rsidRDefault="00F6256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October 2023</w:t>
            </w:r>
          </w:p>
        </w:tc>
      </w:tr>
    </w:tbl>
    <w:p w14:paraId="55668B43" w14:textId="77777777" w:rsidR="002611EB" w:rsidRDefault="002611EB" w:rsidP="008A22C6"/>
    <w:p w14:paraId="55668B44" w14:textId="77777777" w:rsidR="005C60B2" w:rsidRDefault="005C60B2" w:rsidP="008A22C6"/>
    <w:p w14:paraId="55668B45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55668B46" w14:textId="77777777"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4678"/>
        <w:gridCol w:w="2409"/>
      </w:tblGrid>
      <w:tr w:rsidR="005C60B2" w:rsidRPr="005C60B2" w14:paraId="55668B4A" w14:textId="77777777" w:rsidTr="00B45AF4">
        <w:trPr>
          <w:trHeight w:val="516"/>
        </w:trPr>
        <w:tc>
          <w:tcPr>
            <w:tcW w:w="2836" w:type="dxa"/>
          </w:tcPr>
          <w:p w14:paraId="55668B47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678" w:type="dxa"/>
            <w:vAlign w:val="center"/>
          </w:tcPr>
          <w:p w14:paraId="55668B48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2409" w:type="dxa"/>
            <w:vAlign w:val="center"/>
          </w:tcPr>
          <w:p w14:paraId="55668B49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55668B4F" w14:textId="77777777" w:rsidTr="00B45AF4">
        <w:trPr>
          <w:trHeight w:val="516"/>
        </w:trPr>
        <w:tc>
          <w:tcPr>
            <w:tcW w:w="2836" w:type="dxa"/>
            <w:vAlign w:val="center"/>
          </w:tcPr>
          <w:p w14:paraId="55668B4B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14:paraId="55668B4C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officer with authority to take the decision, either from a Cabinet delegation or in the Constitution. </w:t>
            </w:r>
          </w:p>
        </w:tc>
        <w:tc>
          <w:tcPr>
            <w:tcW w:w="4678" w:type="dxa"/>
            <w:vAlign w:val="center"/>
          </w:tcPr>
          <w:p w14:paraId="31740318" w14:textId="145B7268" w:rsidR="00B45AF4" w:rsidRDefault="00B45AF4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340B3DC" wp14:editId="5B56B81A">
                  <wp:extent cx="1371600" cy="446926"/>
                  <wp:effectExtent l="0" t="0" r="0" b="0"/>
                  <wp:docPr id="1" name="Picture 1" descr="A close up of a signa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ature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035" cy="448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086A45" w14:textId="2D550380" w:rsidR="005C60B2" w:rsidRDefault="00F62565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Nerys Parry </w:t>
            </w:r>
          </w:p>
          <w:p w14:paraId="55668B4D" w14:textId="191EBFFB" w:rsidR="00F62565" w:rsidRPr="005C60B2" w:rsidRDefault="00F62565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Housing</w:t>
            </w:r>
            <w:r w:rsidR="006B2193">
              <w:rPr>
                <w:rFonts w:ascii="Arial" w:hAnsi="Arial" w:cs="Arial"/>
              </w:rPr>
              <w:t xml:space="preserve"> Services</w:t>
            </w:r>
          </w:p>
        </w:tc>
        <w:tc>
          <w:tcPr>
            <w:tcW w:w="2409" w:type="dxa"/>
            <w:vAlign w:val="center"/>
          </w:tcPr>
          <w:p w14:paraId="55668B4E" w14:textId="35F979C4" w:rsidR="005C60B2" w:rsidRPr="005C60B2" w:rsidRDefault="00B45AF4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October 2023</w:t>
            </w:r>
          </w:p>
        </w:tc>
      </w:tr>
    </w:tbl>
    <w:p w14:paraId="55668B50" w14:textId="77777777" w:rsidR="005C60B2" w:rsidRPr="005C60B2" w:rsidRDefault="005C60B2" w:rsidP="005C60B2">
      <w:pPr>
        <w:rPr>
          <w:rFonts w:ascii="Arial" w:hAnsi="Arial" w:cs="Arial"/>
        </w:rPr>
      </w:pPr>
    </w:p>
    <w:p w14:paraId="55668B51" w14:textId="77777777"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14:paraId="55668B52" w14:textId="77777777"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111"/>
        <w:gridCol w:w="2409"/>
      </w:tblGrid>
      <w:tr w:rsidR="005C60B2" w:rsidRPr="005C60B2" w14:paraId="55668B56" w14:textId="77777777" w:rsidTr="00B45AF4">
        <w:trPr>
          <w:trHeight w:val="516"/>
        </w:trPr>
        <w:tc>
          <w:tcPr>
            <w:tcW w:w="3403" w:type="dxa"/>
          </w:tcPr>
          <w:p w14:paraId="55668B53" w14:textId="2092EBD7" w:rsidR="005C60B2" w:rsidRPr="005C60B2" w:rsidRDefault="008E13C8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55668B54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2409" w:type="dxa"/>
            <w:vAlign w:val="center"/>
          </w:tcPr>
          <w:p w14:paraId="55668B55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55668B60" w14:textId="77777777" w:rsidTr="00B45AF4">
        <w:trPr>
          <w:trHeight w:val="1161"/>
        </w:trPr>
        <w:tc>
          <w:tcPr>
            <w:tcW w:w="3403" w:type="dxa"/>
          </w:tcPr>
          <w:p w14:paraId="55668B5C" w14:textId="77777777" w:rsidR="005C60B2" w:rsidRDefault="005C60B2" w:rsidP="005C60B2">
            <w:pPr>
              <w:spacing w:before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Head of Financial Services</w:t>
            </w:r>
          </w:p>
          <w:p w14:paraId="55668B5D" w14:textId="4BB7BF93" w:rsidR="005C60B2" w:rsidRPr="005C60B2" w:rsidRDefault="005C60B2" w:rsidP="005C60B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4A830629" w14:textId="1F902CE3" w:rsidR="006B2193" w:rsidRDefault="006B2193" w:rsidP="008E13C8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7916B9B5" wp14:editId="77DF4C43">
                  <wp:extent cx="1113155" cy="8426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BFB4CE" w14:textId="399CAC19" w:rsidR="008E13C8" w:rsidRDefault="008E13C8" w:rsidP="008E13C8">
            <w:pPr>
              <w:rPr>
                <w:rFonts w:ascii="Arial" w:hAnsi="Arial" w:cs="Arial"/>
              </w:rPr>
            </w:pPr>
            <w:r w:rsidRPr="008E13C8">
              <w:rPr>
                <w:rFonts w:ascii="Arial" w:hAnsi="Arial" w:cs="Arial"/>
              </w:rPr>
              <w:t xml:space="preserve">Nigel Kennedy </w:t>
            </w:r>
          </w:p>
          <w:p w14:paraId="55668B5E" w14:textId="1A1CBE58" w:rsidR="005C60B2" w:rsidRPr="005C60B2" w:rsidRDefault="008E13C8" w:rsidP="008E13C8">
            <w:pPr>
              <w:rPr>
                <w:rFonts w:ascii="Arial" w:hAnsi="Arial" w:cs="Arial"/>
              </w:rPr>
            </w:pPr>
            <w:r w:rsidRPr="008E13C8">
              <w:rPr>
                <w:rFonts w:ascii="Arial" w:hAnsi="Arial" w:cs="Arial"/>
              </w:rPr>
              <w:t>Head of Financial Services</w:t>
            </w:r>
          </w:p>
        </w:tc>
        <w:tc>
          <w:tcPr>
            <w:tcW w:w="2409" w:type="dxa"/>
            <w:vAlign w:val="center"/>
          </w:tcPr>
          <w:p w14:paraId="55668B5F" w14:textId="2896E39F" w:rsidR="005C60B2" w:rsidRPr="005C60B2" w:rsidRDefault="006B2193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November 2023</w:t>
            </w:r>
          </w:p>
        </w:tc>
      </w:tr>
      <w:tr w:rsidR="005C60B2" w:rsidRPr="005C60B2" w14:paraId="55668B65" w14:textId="77777777" w:rsidTr="007072BC">
        <w:trPr>
          <w:trHeight w:val="834"/>
        </w:trPr>
        <w:tc>
          <w:tcPr>
            <w:tcW w:w="3403" w:type="dxa"/>
          </w:tcPr>
          <w:p w14:paraId="55668B61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Head of Law and Governance </w:t>
            </w:r>
          </w:p>
          <w:p w14:paraId="55668B62" w14:textId="3FA72400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7194C0FC" w14:textId="7640A0DE" w:rsidR="006B2193" w:rsidRDefault="006B2193" w:rsidP="005C60B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86858CA" wp14:editId="462305D7">
                  <wp:extent cx="2002246" cy="5905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54" cy="59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5FFB6" w14:textId="14C8ACAA" w:rsidR="005C60B2" w:rsidRDefault="008E13C8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Jackman</w:t>
            </w:r>
          </w:p>
          <w:p w14:paraId="02FE9BC4" w14:textId="0A1CFAA8" w:rsidR="008E13C8" w:rsidRDefault="008E13C8" w:rsidP="008E13C8">
            <w:pPr>
              <w:rPr>
                <w:rFonts w:ascii="Arial" w:hAnsi="Arial" w:cs="Arial"/>
              </w:rPr>
            </w:pPr>
            <w:r w:rsidRPr="008E13C8">
              <w:rPr>
                <w:rFonts w:ascii="Arial" w:hAnsi="Arial" w:cs="Arial"/>
              </w:rPr>
              <w:t>Head of Law and Governance</w:t>
            </w:r>
          </w:p>
          <w:p w14:paraId="55668B63" w14:textId="62375DD3" w:rsidR="008E13C8" w:rsidRPr="005C60B2" w:rsidRDefault="008E13C8" w:rsidP="005C60B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55668B64" w14:textId="25223D36" w:rsidR="005C60B2" w:rsidRPr="005C60B2" w:rsidRDefault="007072BC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October 2023</w:t>
            </w:r>
          </w:p>
        </w:tc>
      </w:tr>
      <w:tr w:rsidR="005C60B2" w:rsidRPr="005C60B2" w14:paraId="55668B6A" w14:textId="77777777" w:rsidTr="00B45AF4">
        <w:trPr>
          <w:trHeight w:val="562"/>
        </w:trPr>
        <w:tc>
          <w:tcPr>
            <w:tcW w:w="3403" w:type="dxa"/>
            <w:vAlign w:val="center"/>
          </w:tcPr>
          <w:p w14:paraId="55668B66" w14:textId="761E4482" w:rsidR="007072BC" w:rsidRPr="005C60B2" w:rsidRDefault="005C60B2" w:rsidP="007072BC">
            <w:pPr>
              <w:spacing w:before="120" w:after="120"/>
              <w:rPr>
                <w:rFonts w:ascii="Arial" w:hAnsi="Arial" w:cs="Arial"/>
              </w:rPr>
            </w:pPr>
            <w:r w:rsidRPr="005C60B2">
              <w:rPr>
                <w:rFonts w:ascii="Arial" w:hAnsi="Arial" w:cs="Arial"/>
                <w:b/>
              </w:rPr>
              <w:t>Cabinet Member</w:t>
            </w:r>
          </w:p>
          <w:p w14:paraId="55668B67" w14:textId="2D930DCC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55668B68" w14:textId="3342549D" w:rsidR="008E13C8" w:rsidRPr="005C60B2" w:rsidRDefault="008E13C8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7072BC">
              <w:rPr>
                <w:rFonts w:ascii="Arial" w:hAnsi="Arial" w:cs="Arial"/>
              </w:rPr>
              <w:t>ounci</w:t>
            </w:r>
            <w:r>
              <w:rPr>
                <w:rFonts w:ascii="Arial" w:hAnsi="Arial" w:cs="Arial"/>
              </w:rPr>
              <w:t>ll</w:t>
            </w:r>
            <w:r w:rsidR="007072BC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 Linda Smith</w:t>
            </w:r>
            <w:r w:rsidR="007072B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Cabinet Member for Housing</w:t>
            </w:r>
          </w:p>
        </w:tc>
        <w:tc>
          <w:tcPr>
            <w:tcW w:w="2409" w:type="dxa"/>
            <w:vAlign w:val="center"/>
          </w:tcPr>
          <w:p w14:paraId="55668B69" w14:textId="21CD64CF" w:rsidR="005C60B2" w:rsidRPr="005C60B2" w:rsidRDefault="007072BC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October 2023</w:t>
            </w:r>
          </w:p>
        </w:tc>
      </w:tr>
    </w:tbl>
    <w:p w14:paraId="55668B70" w14:textId="77777777" w:rsidR="005C60B2" w:rsidRPr="005C60B2" w:rsidRDefault="005C60B2" w:rsidP="005C60B2">
      <w:pPr>
        <w:ind w:left="-426"/>
        <w:rPr>
          <w:rFonts w:ascii="Arial" w:hAnsi="Arial" w:cs="Arial"/>
        </w:rPr>
      </w:pPr>
    </w:p>
    <w:p w14:paraId="55668B99" w14:textId="57E4763A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3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9636" w14:textId="77777777" w:rsidR="00BD521C" w:rsidRDefault="00BD521C" w:rsidP="00F11FD1">
      <w:r>
        <w:separator/>
      </w:r>
    </w:p>
  </w:endnote>
  <w:endnote w:type="continuationSeparator" w:id="0">
    <w:p w14:paraId="50E37E90" w14:textId="77777777" w:rsidR="00BD521C" w:rsidRDefault="00BD521C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8BA0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1154" w14:textId="77777777" w:rsidR="00BD521C" w:rsidRDefault="00BD521C" w:rsidP="00F11FD1">
      <w:r>
        <w:separator/>
      </w:r>
    </w:p>
  </w:footnote>
  <w:footnote w:type="continuationSeparator" w:id="0">
    <w:p w14:paraId="4C5AC96D" w14:textId="77777777" w:rsidR="00BD521C" w:rsidRDefault="00BD521C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07974"/>
    <w:multiLevelType w:val="hybridMultilevel"/>
    <w:tmpl w:val="476457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18E4"/>
    <w:multiLevelType w:val="multilevel"/>
    <w:tmpl w:val="9056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730366">
    <w:abstractNumId w:val="6"/>
  </w:num>
  <w:num w:numId="2" w16cid:durableId="66155184">
    <w:abstractNumId w:val="1"/>
  </w:num>
  <w:num w:numId="3" w16cid:durableId="2066105686">
    <w:abstractNumId w:val="7"/>
  </w:num>
  <w:num w:numId="4" w16cid:durableId="1883402120">
    <w:abstractNumId w:val="2"/>
  </w:num>
  <w:num w:numId="5" w16cid:durableId="11225975">
    <w:abstractNumId w:val="3"/>
  </w:num>
  <w:num w:numId="6" w16cid:durableId="317616425">
    <w:abstractNumId w:val="5"/>
  </w:num>
  <w:num w:numId="7" w16cid:durableId="420178052">
    <w:abstractNumId w:val="4"/>
  </w:num>
  <w:num w:numId="8" w16cid:durableId="16662816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D4"/>
    <w:rsid w:val="000173BF"/>
    <w:rsid w:val="00037822"/>
    <w:rsid w:val="000445D4"/>
    <w:rsid w:val="0005116F"/>
    <w:rsid w:val="0005774E"/>
    <w:rsid w:val="0008133A"/>
    <w:rsid w:val="000B4310"/>
    <w:rsid w:val="000D2140"/>
    <w:rsid w:val="000F4239"/>
    <w:rsid w:val="00122C98"/>
    <w:rsid w:val="00231385"/>
    <w:rsid w:val="002611EB"/>
    <w:rsid w:val="00263039"/>
    <w:rsid w:val="002A07C9"/>
    <w:rsid w:val="002B53D4"/>
    <w:rsid w:val="002E61DD"/>
    <w:rsid w:val="003242D4"/>
    <w:rsid w:val="00335A9B"/>
    <w:rsid w:val="003505E0"/>
    <w:rsid w:val="003547CD"/>
    <w:rsid w:val="00373F5D"/>
    <w:rsid w:val="003914DE"/>
    <w:rsid w:val="003B1236"/>
    <w:rsid w:val="004000D7"/>
    <w:rsid w:val="00405321"/>
    <w:rsid w:val="00424A92"/>
    <w:rsid w:val="00432B93"/>
    <w:rsid w:val="0046170E"/>
    <w:rsid w:val="0047463D"/>
    <w:rsid w:val="004A049B"/>
    <w:rsid w:val="004B1944"/>
    <w:rsid w:val="00504E43"/>
    <w:rsid w:val="00532DF2"/>
    <w:rsid w:val="005C60B2"/>
    <w:rsid w:val="005C6416"/>
    <w:rsid w:val="005E37E4"/>
    <w:rsid w:val="00616F3F"/>
    <w:rsid w:val="006247C4"/>
    <w:rsid w:val="006B1A11"/>
    <w:rsid w:val="006B2193"/>
    <w:rsid w:val="006F6326"/>
    <w:rsid w:val="006F6731"/>
    <w:rsid w:val="007023AB"/>
    <w:rsid w:val="007072BC"/>
    <w:rsid w:val="00757726"/>
    <w:rsid w:val="007908F4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E13C8"/>
    <w:rsid w:val="008E4629"/>
    <w:rsid w:val="00960744"/>
    <w:rsid w:val="00986C99"/>
    <w:rsid w:val="009F048F"/>
    <w:rsid w:val="009F6401"/>
    <w:rsid w:val="00A12928"/>
    <w:rsid w:val="00A253FE"/>
    <w:rsid w:val="00A96C08"/>
    <w:rsid w:val="00AC5899"/>
    <w:rsid w:val="00B15340"/>
    <w:rsid w:val="00B45AF4"/>
    <w:rsid w:val="00B87695"/>
    <w:rsid w:val="00B928EF"/>
    <w:rsid w:val="00BD4490"/>
    <w:rsid w:val="00BD521C"/>
    <w:rsid w:val="00BE1FD4"/>
    <w:rsid w:val="00BF240D"/>
    <w:rsid w:val="00C07F80"/>
    <w:rsid w:val="00C251F7"/>
    <w:rsid w:val="00C46728"/>
    <w:rsid w:val="00C6130E"/>
    <w:rsid w:val="00C678ED"/>
    <w:rsid w:val="00CB5E4F"/>
    <w:rsid w:val="00CD4BC9"/>
    <w:rsid w:val="00CE6085"/>
    <w:rsid w:val="00D10BC3"/>
    <w:rsid w:val="00D33F83"/>
    <w:rsid w:val="00D35909"/>
    <w:rsid w:val="00D543D9"/>
    <w:rsid w:val="00DA6762"/>
    <w:rsid w:val="00DB01D4"/>
    <w:rsid w:val="00DC2E8D"/>
    <w:rsid w:val="00DD1A34"/>
    <w:rsid w:val="00DD4885"/>
    <w:rsid w:val="00DD51B2"/>
    <w:rsid w:val="00E127E3"/>
    <w:rsid w:val="00E2036C"/>
    <w:rsid w:val="00E20A54"/>
    <w:rsid w:val="00E270E5"/>
    <w:rsid w:val="00E97024"/>
    <w:rsid w:val="00E97F84"/>
    <w:rsid w:val="00F11FD1"/>
    <w:rsid w:val="00F36DD5"/>
    <w:rsid w:val="00F62565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68B16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ieListDocuments.aspx?CId=527&amp;MId=7516&amp;Ver=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mycouncil.oxford.gov.uk/documents/s74144/Resettlement%20Commitments%20for%20New%20Refugee%20Familie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7DA2-01B0-4B74-8259-32B28AC1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5</cp:revision>
  <cp:lastPrinted>2015-07-27T09:35:00Z</cp:lastPrinted>
  <dcterms:created xsi:type="dcterms:W3CDTF">2023-11-15T07:01:00Z</dcterms:created>
  <dcterms:modified xsi:type="dcterms:W3CDTF">2023-11-15T07:34:00Z</dcterms:modified>
</cp:coreProperties>
</file>